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900AFD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BE2A3F" w:rsidRDefault="00601837" w:rsidP="00AC4A9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Council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842856" w:rsidRDefault="00601837" w:rsidP="0047741D">
            <w:pPr>
              <w:jc w:val="center"/>
              <w:rPr>
                <w:b/>
              </w:rPr>
            </w:pPr>
            <w:r>
              <w:rPr>
                <w:b/>
              </w:rPr>
              <w:t xml:space="preserve">5 December 2018 </w:t>
            </w:r>
          </w:p>
        </w:tc>
      </w:tr>
      <w:tr w:rsidR="002F5C5E" w:rsidRPr="009E2B84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47741D" w:rsidRPr="009E2B84" w:rsidRDefault="0047741D" w:rsidP="00E2196F">
            <w:pPr>
              <w:rPr>
                <w:b/>
              </w:rPr>
            </w:pPr>
          </w:p>
          <w:p w:rsidR="0047741D" w:rsidRDefault="00842856" w:rsidP="00601837">
            <w:bookmarkStart w:id="0" w:name="_GoBack"/>
            <w:r w:rsidRPr="00842856">
              <w:t xml:space="preserve">Review of the </w:t>
            </w:r>
            <w:r w:rsidR="00601837">
              <w:t>Constitution:  Part 2D – Governance Committee Terms of Reference</w:t>
            </w:r>
          </w:p>
          <w:bookmarkEnd w:id="0"/>
          <w:p w:rsidR="00601837" w:rsidRPr="009E2B84" w:rsidRDefault="00601837" w:rsidP="00601837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7741D" w:rsidRPr="00842856" w:rsidRDefault="00842856" w:rsidP="00AB71CD">
            <w:r w:rsidRPr="00842856">
              <w:t xml:space="preserve">Assistant Director of Scrutiny </w:t>
            </w:r>
            <w:r w:rsidR="00AB71CD">
              <w:t>and</w:t>
            </w:r>
            <w:r w:rsidRPr="00842856">
              <w:t xml:space="preserve"> Democratic Services</w:t>
            </w:r>
          </w:p>
        </w:tc>
      </w:tr>
    </w:tbl>
    <w:p w:rsidR="002F5C5E" w:rsidRPr="009E2B84" w:rsidRDefault="002F5C5E" w:rsidP="002F5C5E"/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842856" w:rsidRDefault="00842856" w:rsidP="00E2196F">
            <w:pPr>
              <w:rPr>
                <w:b/>
                <w:szCs w:val="22"/>
              </w:rPr>
            </w:pPr>
          </w:p>
          <w:p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:rsidR="0047741D" w:rsidRPr="009C1143" w:rsidRDefault="0047741D" w:rsidP="00842856">
            <w:pPr>
              <w:rPr>
                <w:szCs w:val="22"/>
              </w:rPr>
            </w:pPr>
          </w:p>
        </w:tc>
      </w:tr>
    </w:tbl>
    <w:p w:rsidR="0047741D" w:rsidRDefault="0047741D" w:rsidP="002F5C5E">
      <w:pPr>
        <w:rPr>
          <w:sz w:val="16"/>
          <w:szCs w:val="16"/>
        </w:rPr>
      </w:pPr>
    </w:p>
    <w:p w:rsidR="00EB2D32" w:rsidRPr="009C1143" w:rsidRDefault="00EB2D32" w:rsidP="002F5C5E">
      <w:pPr>
        <w:rPr>
          <w:sz w:val="16"/>
          <w:szCs w:val="16"/>
        </w:rPr>
      </w:pPr>
    </w:p>
    <w:p w:rsidR="002F5C5E" w:rsidRDefault="002F5C5E" w:rsidP="002F5C5E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0B5251" w:rsidRPr="009C1143" w:rsidRDefault="000B5251" w:rsidP="000B5251">
      <w:pPr>
        <w:keepNext/>
        <w:ind w:left="360"/>
        <w:outlineLvl w:val="0"/>
        <w:rPr>
          <w:b/>
          <w:szCs w:val="22"/>
        </w:rPr>
      </w:pPr>
    </w:p>
    <w:p w:rsidR="00601837" w:rsidRDefault="00601837" w:rsidP="002F5C5E">
      <w:pPr>
        <w:keepNext/>
        <w:ind w:left="360"/>
        <w:outlineLvl w:val="0"/>
        <w:rPr>
          <w:szCs w:val="22"/>
        </w:rPr>
      </w:pPr>
      <w:r>
        <w:rPr>
          <w:szCs w:val="22"/>
        </w:rPr>
        <w:t xml:space="preserve">At </w:t>
      </w:r>
      <w:r w:rsidR="00D16152">
        <w:rPr>
          <w:szCs w:val="22"/>
        </w:rPr>
        <w:t>its</w:t>
      </w:r>
      <w:r>
        <w:rPr>
          <w:szCs w:val="22"/>
        </w:rPr>
        <w:t xml:space="preserve"> meeting on 1 February 2017, the Governance Committee resolved to review the Council’s constitution. </w:t>
      </w:r>
    </w:p>
    <w:p w:rsidR="00601837" w:rsidRDefault="00601837" w:rsidP="002F5C5E">
      <w:pPr>
        <w:keepNext/>
        <w:ind w:left="360"/>
        <w:outlineLvl w:val="0"/>
        <w:rPr>
          <w:szCs w:val="22"/>
        </w:rPr>
      </w:pPr>
    </w:p>
    <w:p w:rsidR="00601837" w:rsidRDefault="00601837" w:rsidP="002F5C5E">
      <w:pPr>
        <w:keepNext/>
        <w:ind w:left="360"/>
        <w:outlineLvl w:val="0"/>
        <w:rPr>
          <w:szCs w:val="22"/>
        </w:rPr>
      </w:pPr>
      <w:r>
        <w:rPr>
          <w:szCs w:val="22"/>
        </w:rPr>
        <w:t>The Governance Committee considered Part 2D – Governance Committee terms of reference in the constitution on Thursday, 20 September 2018.</w:t>
      </w:r>
    </w:p>
    <w:p w:rsidR="00601837" w:rsidRDefault="00601837" w:rsidP="002F5C5E">
      <w:pPr>
        <w:keepNext/>
        <w:ind w:left="360"/>
        <w:outlineLvl w:val="0"/>
        <w:rPr>
          <w:szCs w:val="22"/>
        </w:rPr>
      </w:pPr>
    </w:p>
    <w:p w:rsidR="002F5C5E" w:rsidRPr="00842856" w:rsidRDefault="00842856" w:rsidP="002F5C5E">
      <w:pPr>
        <w:keepNext/>
        <w:ind w:left="360"/>
        <w:outlineLvl w:val="0"/>
        <w:rPr>
          <w:szCs w:val="22"/>
        </w:rPr>
      </w:pPr>
      <w:r w:rsidRPr="00842856">
        <w:rPr>
          <w:szCs w:val="22"/>
        </w:rPr>
        <w:t>T</w:t>
      </w:r>
      <w:r w:rsidR="00601837">
        <w:rPr>
          <w:szCs w:val="22"/>
        </w:rPr>
        <w:t xml:space="preserve">he purpose of this report is for Council to endorse and approve the updated Governance Committee terms of reference.   </w:t>
      </w:r>
    </w:p>
    <w:p w:rsidR="002F5C5E" w:rsidRPr="009C1143" w:rsidRDefault="002F5C5E" w:rsidP="002F5C5E">
      <w:pPr>
        <w:rPr>
          <w:szCs w:val="22"/>
        </w:rPr>
      </w:pPr>
    </w:p>
    <w:p w:rsidR="002F5C5E" w:rsidRDefault="002F5C5E" w:rsidP="002F5C5E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RECOMMENDATIONS</w:t>
      </w:r>
    </w:p>
    <w:p w:rsidR="000B5251" w:rsidRPr="009C1143" w:rsidRDefault="000B5251" w:rsidP="000B5251">
      <w:pPr>
        <w:keepNext/>
        <w:ind w:left="360"/>
        <w:outlineLvl w:val="0"/>
        <w:rPr>
          <w:b/>
          <w:szCs w:val="22"/>
        </w:rPr>
      </w:pPr>
    </w:p>
    <w:p w:rsidR="00900AFD" w:rsidRPr="00900AFD" w:rsidRDefault="00601837" w:rsidP="00601837">
      <w:pPr>
        <w:ind w:left="426" w:hanging="66"/>
        <w:rPr>
          <w:szCs w:val="22"/>
        </w:rPr>
      </w:pPr>
      <w:r>
        <w:rPr>
          <w:szCs w:val="22"/>
        </w:rPr>
        <w:t>That Council approve</w:t>
      </w:r>
      <w:r w:rsidR="00D16152">
        <w:rPr>
          <w:szCs w:val="22"/>
        </w:rPr>
        <w:t>s</w:t>
      </w:r>
      <w:r>
        <w:rPr>
          <w:szCs w:val="22"/>
        </w:rPr>
        <w:t xml:space="preserve"> the draft Part 2D – Governance Committee terms of reference at Appendix B of this report.</w:t>
      </w:r>
    </w:p>
    <w:p w:rsidR="002F5C5E" w:rsidRPr="009C1143" w:rsidRDefault="002F5C5E" w:rsidP="002F5C5E">
      <w:pPr>
        <w:rPr>
          <w:szCs w:val="22"/>
        </w:rPr>
      </w:pPr>
    </w:p>
    <w:p w:rsidR="002F5C5E" w:rsidRDefault="002F5C5E" w:rsidP="00525728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>CORPORATE PRIORITIES</w:t>
      </w:r>
    </w:p>
    <w:p w:rsidR="00772B9C" w:rsidRDefault="00772B9C" w:rsidP="00772B9C">
      <w:pPr>
        <w:keepNext/>
        <w:outlineLvl w:val="0"/>
        <w:rPr>
          <w:b/>
          <w:szCs w:val="22"/>
        </w:rPr>
      </w:pPr>
    </w:p>
    <w:p w:rsidR="00772B9C" w:rsidRPr="00772B9C" w:rsidRDefault="00772B9C" w:rsidP="00772B9C">
      <w:pPr>
        <w:keepNext/>
        <w:ind w:left="360"/>
        <w:outlineLvl w:val="0"/>
        <w:rPr>
          <w:i/>
          <w:color w:val="2E74B5"/>
          <w:szCs w:val="22"/>
        </w:rPr>
      </w:pPr>
      <w:r w:rsidRPr="009C1143">
        <w:rPr>
          <w:szCs w:val="22"/>
        </w:rPr>
        <w:t>The report relates to the following corporate priorities</w:t>
      </w:r>
      <w:r>
        <w:rPr>
          <w:szCs w:val="22"/>
        </w:rPr>
        <w:t>:</w:t>
      </w:r>
      <w:r w:rsidRPr="009C1143">
        <w:rPr>
          <w:b/>
          <w:szCs w:val="22"/>
        </w:rPr>
        <w:t xml:space="preserve"> </w:t>
      </w:r>
    </w:p>
    <w:p w:rsidR="00772B9C" w:rsidRDefault="00772B9C" w:rsidP="00772B9C">
      <w:pPr>
        <w:keepNext/>
        <w:outlineLvl w:val="0"/>
        <w:rPr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8770BE" w:rsidTr="000E4458">
        <w:tc>
          <w:tcPr>
            <w:tcW w:w="4423" w:type="dxa"/>
            <w:shd w:val="clear" w:color="auto" w:fill="auto"/>
          </w:tcPr>
          <w:p w:rsidR="00772B9C" w:rsidRPr="000828CC" w:rsidRDefault="00772B9C" w:rsidP="000E4458">
            <w:pPr>
              <w:rPr>
                <w:szCs w:val="22"/>
              </w:rPr>
            </w:pPr>
            <w:r w:rsidRPr="000828CC">
              <w:rPr>
                <w:szCs w:val="22"/>
              </w:rPr>
              <w:t>Excellence and Financial Sustainability</w:t>
            </w:r>
          </w:p>
          <w:p w:rsidR="00772B9C" w:rsidRPr="000828CC" w:rsidRDefault="00772B9C" w:rsidP="000E4458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8770BE" w:rsidRDefault="001510ED" w:rsidP="000E4458">
            <w:pPr>
              <w:rPr>
                <w:szCs w:val="22"/>
                <w:highlight w:val="yellow"/>
              </w:rPr>
            </w:pPr>
            <w:r w:rsidRPr="001510ED">
              <w:rPr>
                <w:szCs w:val="22"/>
              </w:rPr>
              <w:sym w:font="Wingdings 2" w:char="F050"/>
            </w:r>
          </w:p>
        </w:tc>
      </w:tr>
      <w:tr w:rsidR="00772B9C" w:rsidRPr="008770BE" w:rsidTr="000E4458">
        <w:tc>
          <w:tcPr>
            <w:tcW w:w="4423" w:type="dxa"/>
            <w:shd w:val="clear" w:color="auto" w:fill="auto"/>
          </w:tcPr>
          <w:p w:rsidR="00772B9C" w:rsidRPr="000828CC" w:rsidRDefault="00772B9C" w:rsidP="000E4458">
            <w:pPr>
              <w:rPr>
                <w:szCs w:val="22"/>
              </w:rPr>
            </w:pPr>
            <w:r w:rsidRPr="000828CC">
              <w:rPr>
                <w:szCs w:val="22"/>
              </w:rPr>
              <w:t>Health and Wellbeing</w:t>
            </w:r>
          </w:p>
          <w:p w:rsidR="00772B9C" w:rsidRPr="000828CC" w:rsidRDefault="00772B9C" w:rsidP="000E4458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8770BE" w:rsidRDefault="00772B9C" w:rsidP="000E4458">
            <w:pPr>
              <w:rPr>
                <w:szCs w:val="22"/>
                <w:highlight w:val="yellow"/>
              </w:rPr>
            </w:pPr>
          </w:p>
        </w:tc>
      </w:tr>
      <w:tr w:rsidR="00772B9C" w:rsidRPr="009C1143" w:rsidTr="000E4458">
        <w:tc>
          <w:tcPr>
            <w:tcW w:w="4423" w:type="dxa"/>
            <w:shd w:val="clear" w:color="auto" w:fill="auto"/>
          </w:tcPr>
          <w:p w:rsidR="00772B9C" w:rsidRPr="000828CC" w:rsidRDefault="00772B9C" w:rsidP="000E4458">
            <w:pPr>
              <w:rPr>
                <w:szCs w:val="22"/>
              </w:rPr>
            </w:pPr>
            <w:r w:rsidRPr="000828CC">
              <w:rPr>
                <w:szCs w:val="22"/>
              </w:rPr>
              <w:t>Place</w:t>
            </w:r>
          </w:p>
          <w:p w:rsidR="00772B9C" w:rsidRPr="000828CC" w:rsidRDefault="00772B9C" w:rsidP="000E4458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C1143" w:rsidRDefault="00772B9C" w:rsidP="000E4458">
            <w:pPr>
              <w:rPr>
                <w:szCs w:val="22"/>
              </w:rPr>
            </w:pPr>
          </w:p>
        </w:tc>
      </w:tr>
    </w:tbl>
    <w:p w:rsidR="00772B9C" w:rsidRDefault="00772B9C" w:rsidP="00772B9C"/>
    <w:p w:rsidR="00772B9C" w:rsidRDefault="00772B9C" w:rsidP="00772B9C">
      <w:pPr>
        <w:ind w:firstLine="720"/>
      </w:pPr>
      <w:r>
        <w:t>Projects relating to People in the Corporate Plan:</w:t>
      </w:r>
    </w:p>
    <w:p w:rsidR="00772B9C" w:rsidRDefault="00772B9C" w:rsidP="00772B9C">
      <w:pPr>
        <w:ind w:firstLine="720"/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C1143" w:rsidTr="000E4458">
        <w:tc>
          <w:tcPr>
            <w:tcW w:w="4423" w:type="dxa"/>
            <w:shd w:val="clear" w:color="auto" w:fill="auto"/>
          </w:tcPr>
          <w:p w:rsidR="00772B9C" w:rsidRDefault="00772B9C" w:rsidP="000E4458">
            <w:pPr>
              <w:rPr>
                <w:szCs w:val="22"/>
              </w:rPr>
            </w:pPr>
            <w:r>
              <w:rPr>
                <w:szCs w:val="22"/>
              </w:rPr>
              <w:t xml:space="preserve">People </w:t>
            </w:r>
          </w:p>
          <w:p w:rsidR="00772B9C" w:rsidRPr="000828CC" w:rsidRDefault="00772B9C" w:rsidP="000E4458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9C1143" w:rsidRDefault="00772B9C" w:rsidP="000E4458">
            <w:pPr>
              <w:rPr>
                <w:szCs w:val="22"/>
              </w:rPr>
            </w:pPr>
          </w:p>
        </w:tc>
      </w:tr>
    </w:tbl>
    <w:p w:rsidR="00772B9C" w:rsidRPr="009C1143" w:rsidRDefault="00772B9C" w:rsidP="002F5C5E">
      <w:pPr>
        <w:rPr>
          <w:szCs w:val="22"/>
        </w:rPr>
      </w:pPr>
    </w:p>
    <w:p w:rsidR="002F5C5E" w:rsidRPr="009C1143" w:rsidRDefault="00386F06" w:rsidP="002F5C5E">
      <w:pPr>
        <w:rPr>
          <w:b/>
          <w:szCs w:val="22"/>
        </w:rPr>
      </w:pPr>
      <w:r>
        <w:rPr>
          <w:b/>
          <w:szCs w:val="22"/>
        </w:rPr>
        <w:t>4</w:t>
      </w:r>
      <w:r w:rsidR="002F5C5E" w:rsidRPr="009C1143">
        <w:rPr>
          <w:b/>
          <w:szCs w:val="22"/>
        </w:rPr>
        <w:t>.   BACKGROUND TO THE REPORT</w:t>
      </w:r>
    </w:p>
    <w:p w:rsidR="00900AFD" w:rsidRDefault="00900AFD" w:rsidP="001510ED">
      <w:pPr>
        <w:ind w:left="426"/>
        <w:rPr>
          <w:color w:val="2E74B5"/>
          <w:szCs w:val="22"/>
        </w:rPr>
      </w:pPr>
    </w:p>
    <w:p w:rsidR="001510ED" w:rsidRPr="00900AFD" w:rsidRDefault="00386F06" w:rsidP="001510ED">
      <w:pPr>
        <w:ind w:left="426"/>
        <w:rPr>
          <w:szCs w:val="22"/>
        </w:rPr>
      </w:pPr>
      <w:r w:rsidRPr="006A4FC5">
        <w:rPr>
          <w:szCs w:val="22"/>
        </w:rPr>
        <w:t xml:space="preserve">4.1 </w:t>
      </w:r>
      <w:r w:rsidR="001510ED" w:rsidRPr="006A4FC5">
        <w:rPr>
          <w:szCs w:val="22"/>
        </w:rPr>
        <w:t xml:space="preserve">At its meeting on 1 February 2017, the Governance Committee agreed to review the Council’s constitution.  </w:t>
      </w:r>
    </w:p>
    <w:p w:rsidR="001510ED" w:rsidRPr="00900AFD" w:rsidRDefault="001510ED" w:rsidP="001510ED">
      <w:pPr>
        <w:ind w:left="284"/>
        <w:rPr>
          <w:szCs w:val="22"/>
        </w:rPr>
      </w:pPr>
    </w:p>
    <w:p w:rsidR="00525728" w:rsidRPr="00D16152" w:rsidRDefault="00386F06" w:rsidP="00D16152">
      <w:pPr>
        <w:ind w:left="426"/>
        <w:rPr>
          <w:szCs w:val="22"/>
        </w:rPr>
      </w:pPr>
      <w:r>
        <w:rPr>
          <w:szCs w:val="22"/>
        </w:rPr>
        <w:t xml:space="preserve">4.2 </w:t>
      </w:r>
      <w:r w:rsidR="001510ED" w:rsidRPr="00900AFD">
        <w:rPr>
          <w:szCs w:val="22"/>
        </w:rPr>
        <w:t xml:space="preserve">This report </w:t>
      </w:r>
      <w:r w:rsidR="00D16152">
        <w:rPr>
          <w:szCs w:val="22"/>
        </w:rPr>
        <w:t>outlines the review of</w:t>
      </w:r>
      <w:r w:rsidR="001510ED" w:rsidRPr="00900AFD">
        <w:rPr>
          <w:szCs w:val="22"/>
        </w:rPr>
        <w:t xml:space="preserve"> t</w:t>
      </w:r>
      <w:r w:rsidR="00601837">
        <w:rPr>
          <w:szCs w:val="22"/>
        </w:rPr>
        <w:t>he existing terms of reference agreed by the Governance Committee on 20 September 2018</w:t>
      </w:r>
      <w:r w:rsidR="001510ED" w:rsidRPr="00900AFD">
        <w:rPr>
          <w:szCs w:val="22"/>
        </w:rPr>
        <w:t xml:space="preserve">.  </w:t>
      </w:r>
    </w:p>
    <w:p w:rsidR="00900AFD" w:rsidRPr="00900AFD" w:rsidRDefault="00900AFD" w:rsidP="000B5251">
      <w:pPr>
        <w:rPr>
          <w:i/>
          <w:szCs w:val="22"/>
        </w:rPr>
      </w:pPr>
    </w:p>
    <w:p w:rsidR="002F5C5E" w:rsidRDefault="00386F06" w:rsidP="002F5C5E">
      <w:pPr>
        <w:rPr>
          <w:b/>
          <w:szCs w:val="22"/>
        </w:rPr>
      </w:pPr>
      <w:r>
        <w:rPr>
          <w:b/>
          <w:szCs w:val="22"/>
        </w:rPr>
        <w:t>5</w:t>
      </w:r>
      <w:r w:rsidR="001938D6">
        <w:rPr>
          <w:b/>
          <w:szCs w:val="22"/>
        </w:rPr>
        <w:t xml:space="preserve">.   PROPOSALS </w:t>
      </w:r>
    </w:p>
    <w:p w:rsidR="001938D6" w:rsidRDefault="001938D6" w:rsidP="002F5C5E">
      <w:pPr>
        <w:rPr>
          <w:b/>
          <w:szCs w:val="22"/>
        </w:rPr>
      </w:pPr>
    </w:p>
    <w:p w:rsidR="001510ED" w:rsidRDefault="00386F06" w:rsidP="00900AFD">
      <w:pPr>
        <w:autoSpaceDE w:val="0"/>
        <w:autoSpaceDN w:val="0"/>
        <w:adjustRightInd w:val="0"/>
        <w:ind w:left="360" w:hanging="360"/>
        <w:rPr>
          <w:rFonts w:ascii="ArialMT" w:hAnsi="ArialMT" w:cs="ArialMT"/>
          <w:szCs w:val="22"/>
        </w:rPr>
      </w:pPr>
      <w:r>
        <w:rPr>
          <w:szCs w:val="22"/>
        </w:rPr>
        <w:t>5</w:t>
      </w:r>
      <w:r w:rsidR="001938D6" w:rsidRPr="00900AFD">
        <w:rPr>
          <w:szCs w:val="22"/>
        </w:rPr>
        <w:t>.1</w:t>
      </w:r>
      <w:r w:rsidR="001938D6" w:rsidRPr="00900AFD">
        <w:rPr>
          <w:szCs w:val="22"/>
        </w:rPr>
        <w:tab/>
      </w:r>
      <w:r w:rsidR="001510ED">
        <w:rPr>
          <w:rFonts w:ascii="ArialMT" w:hAnsi="ArialMT" w:cs="ArialMT"/>
          <w:szCs w:val="22"/>
        </w:rPr>
        <w:t>Members agreed to adopt the following “House Style” to ensure the Constitution was an easily accessible document:</w:t>
      </w:r>
    </w:p>
    <w:p w:rsidR="001510ED" w:rsidRDefault="001510ED" w:rsidP="00900AFD">
      <w:pPr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Use of plain </w:t>
      </w:r>
      <w:r w:rsidR="00900AFD">
        <w:rPr>
          <w:rFonts w:ascii="ArialMT" w:hAnsi="ArialMT" w:cs="ArialMT"/>
          <w:szCs w:val="22"/>
        </w:rPr>
        <w:t>English</w:t>
      </w:r>
    </w:p>
    <w:p w:rsidR="001510ED" w:rsidRDefault="001510ED" w:rsidP="00900AFD">
      <w:pPr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Clarity of expression</w:t>
      </w:r>
    </w:p>
    <w:p w:rsidR="001510ED" w:rsidRDefault="001510ED" w:rsidP="00900AFD">
      <w:pPr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Consistency of terminology</w:t>
      </w:r>
    </w:p>
    <w:p w:rsidR="001510ED" w:rsidRDefault="001510ED" w:rsidP="00900AFD">
      <w:pPr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C060C6">
        <w:rPr>
          <w:rFonts w:ascii="ArialMT" w:hAnsi="ArialMT" w:cs="ArialMT"/>
          <w:szCs w:val="22"/>
        </w:rPr>
        <w:t>Streamlining and simplification of sections</w:t>
      </w:r>
    </w:p>
    <w:p w:rsidR="001510ED" w:rsidRPr="001510ED" w:rsidRDefault="001510ED" w:rsidP="00900AFD">
      <w:pPr>
        <w:numPr>
          <w:ilvl w:val="0"/>
          <w:numId w:val="18"/>
        </w:num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C060C6">
        <w:rPr>
          <w:rFonts w:ascii="ArialMT" w:hAnsi="ArialMT" w:cs="ArialMT"/>
          <w:szCs w:val="22"/>
        </w:rPr>
        <w:t>Improvement of interactive links to allow ease of access within the document itself</w:t>
      </w:r>
      <w:r w:rsidRPr="00C060C6">
        <w:rPr>
          <w:b/>
        </w:rPr>
        <w:t>.</w:t>
      </w:r>
    </w:p>
    <w:p w:rsidR="001510ED" w:rsidRDefault="001510ED" w:rsidP="001510ED">
      <w:pPr>
        <w:autoSpaceDE w:val="0"/>
        <w:autoSpaceDN w:val="0"/>
        <w:adjustRightInd w:val="0"/>
        <w:rPr>
          <w:b/>
        </w:rPr>
      </w:pPr>
    </w:p>
    <w:p w:rsidR="001510ED" w:rsidRDefault="00386F06" w:rsidP="001510ED">
      <w:pPr>
        <w:autoSpaceDE w:val="0"/>
        <w:autoSpaceDN w:val="0"/>
        <w:adjustRightInd w:val="0"/>
      </w:pPr>
      <w:proofErr w:type="gramStart"/>
      <w:r>
        <w:t>5</w:t>
      </w:r>
      <w:r w:rsidR="001510ED" w:rsidRPr="00900AFD">
        <w:t>.2</w:t>
      </w:r>
      <w:r w:rsidR="001510ED">
        <w:rPr>
          <w:b/>
        </w:rPr>
        <w:t xml:space="preserve">  </w:t>
      </w:r>
      <w:r w:rsidR="008107AD">
        <w:t>The</w:t>
      </w:r>
      <w:proofErr w:type="gramEnd"/>
      <w:r w:rsidR="008107AD">
        <w:t xml:space="preserve"> existing terms of reference for the Governance Committee – Part 2D are set out in Appendix A.</w:t>
      </w:r>
    </w:p>
    <w:p w:rsidR="004631FC" w:rsidRDefault="004631FC" w:rsidP="001510ED">
      <w:pPr>
        <w:autoSpaceDE w:val="0"/>
        <w:autoSpaceDN w:val="0"/>
        <w:adjustRightInd w:val="0"/>
      </w:pPr>
    </w:p>
    <w:p w:rsidR="004631FC" w:rsidRDefault="004631FC" w:rsidP="001510ED">
      <w:pPr>
        <w:autoSpaceDE w:val="0"/>
        <w:autoSpaceDN w:val="0"/>
        <w:adjustRightInd w:val="0"/>
      </w:pPr>
      <w:proofErr w:type="gramStart"/>
      <w:r>
        <w:t>5.3  The</w:t>
      </w:r>
      <w:proofErr w:type="gramEnd"/>
      <w:r>
        <w:t xml:space="preserve"> terms of reference have been reviewed and a number </w:t>
      </w:r>
      <w:r w:rsidR="000B5F2F">
        <w:t xml:space="preserve">of issues were discussed around </w:t>
      </w:r>
      <w:r>
        <w:t>budget monitoring information being presented to the Cabinet and Scrutiny Committee</w:t>
      </w:r>
      <w:r w:rsidR="002669B1">
        <w:t xml:space="preserve"> in future</w:t>
      </w:r>
      <w:r>
        <w:t xml:space="preserve"> </w:t>
      </w:r>
      <w:r w:rsidR="000B5F2F">
        <w:t xml:space="preserve">rather than the Governance Committee.  </w:t>
      </w:r>
      <w:r w:rsidR="00156AC8">
        <w:t xml:space="preserve">The </w:t>
      </w:r>
      <w:r>
        <w:t>Committee’s role in taking an overview of the constitution</w:t>
      </w:r>
      <w:r w:rsidR="00156AC8">
        <w:t xml:space="preserve"> has been </w:t>
      </w:r>
      <w:r w:rsidR="002669B1">
        <w:t xml:space="preserve">added and </w:t>
      </w:r>
      <w:r w:rsidR="00156AC8">
        <w:t>formalised</w:t>
      </w:r>
      <w:r>
        <w:t>.  The opportunity was</w:t>
      </w:r>
      <w:r w:rsidR="007206F8">
        <w:t xml:space="preserve"> also </w:t>
      </w:r>
      <w:r>
        <w:t>taken to clarify some of the wording within the terms of reference.</w:t>
      </w:r>
    </w:p>
    <w:p w:rsidR="008107AD" w:rsidRDefault="008107AD" w:rsidP="001510ED">
      <w:pPr>
        <w:autoSpaceDE w:val="0"/>
        <w:autoSpaceDN w:val="0"/>
        <w:adjustRightInd w:val="0"/>
      </w:pPr>
    </w:p>
    <w:p w:rsidR="008107AD" w:rsidRDefault="00386F06" w:rsidP="001510ED">
      <w:pPr>
        <w:autoSpaceDE w:val="0"/>
        <w:autoSpaceDN w:val="0"/>
        <w:adjustRightInd w:val="0"/>
      </w:pPr>
      <w:proofErr w:type="gramStart"/>
      <w:r>
        <w:t>5</w:t>
      </w:r>
      <w:r w:rsidR="004631FC">
        <w:t>.4</w:t>
      </w:r>
      <w:r w:rsidR="008107AD">
        <w:t xml:space="preserve">  The</w:t>
      </w:r>
      <w:proofErr w:type="gramEnd"/>
      <w:r w:rsidR="008107AD">
        <w:t xml:space="preserve"> amended </w:t>
      </w:r>
      <w:r w:rsidR="002D6D99">
        <w:t xml:space="preserve">proposed </w:t>
      </w:r>
      <w:r w:rsidR="008107AD">
        <w:t xml:space="preserve">terms of reference for the Governance Committee – Part </w:t>
      </w:r>
      <w:r w:rsidR="00217498">
        <w:t>2D are set out in Appendix B</w:t>
      </w:r>
      <w:r w:rsidR="005B5842">
        <w:t xml:space="preserve"> (updated text in red)</w:t>
      </w:r>
      <w:r w:rsidR="00217498">
        <w:t>.</w:t>
      </w:r>
    </w:p>
    <w:p w:rsidR="008107AD" w:rsidRDefault="008107AD" w:rsidP="001510ED">
      <w:pPr>
        <w:autoSpaceDE w:val="0"/>
        <w:autoSpaceDN w:val="0"/>
        <w:adjustRightInd w:val="0"/>
      </w:pPr>
    </w:p>
    <w:p w:rsidR="001938D6" w:rsidRPr="00792A2B" w:rsidRDefault="00386F06" w:rsidP="002F5C5E">
      <w:pPr>
        <w:rPr>
          <w:b/>
          <w:szCs w:val="22"/>
        </w:rPr>
      </w:pPr>
      <w:r>
        <w:rPr>
          <w:b/>
          <w:szCs w:val="22"/>
        </w:rPr>
        <w:t>6</w:t>
      </w:r>
      <w:r w:rsidR="002F5C5E" w:rsidRPr="00792A2B">
        <w:rPr>
          <w:b/>
          <w:szCs w:val="22"/>
        </w:rPr>
        <w:t xml:space="preserve">.   </w:t>
      </w:r>
      <w:r w:rsidR="001938D6" w:rsidRPr="00792A2B">
        <w:rPr>
          <w:b/>
          <w:szCs w:val="22"/>
        </w:rPr>
        <w:t xml:space="preserve">CONSULTATION CARRIED OUT AND OUTCOME OF CONSULTATION </w:t>
      </w:r>
    </w:p>
    <w:p w:rsidR="001938D6" w:rsidRPr="00792A2B" w:rsidRDefault="001938D6" w:rsidP="002F5C5E">
      <w:pPr>
        <w:rPr>
          <w:b/>
          <w:szCs w:val="22"/>
        </w:rPr>
      </w:pPr>
    </w:p>
    <w:p w:rsidR="001938D6" w:rsidRDefault="00386F06" w:rsidP="002F5C5E">
      <w:pPr>
        <w:rPr>
          <w:rFonts w:cs="Arial"/>
        </w:rPr>
      </w:pPr>
      <w:r>
        <w:rPr>
          <w:szCs w:val="22"/>
        </w:rPr>
        <w:t>6</w:t>
      </w:r>
      <w:r w:rsidR="001938D6" w:rsidRPr="00900AFD">
        <w:rPr>
          <w:szCs w:val="22"/>
        </w:rPr>
        <w:t>.1</w:t>
      </w:r>
      <w:r w:rsidR="00F43895" w:rsidRPr="00900AFD">
        <w:rPr>
          <w:b/>
          <w:szCs w:val="22"/>
        </w:rPr>
        <w:t xml:space="preserve">   </w:t>
      </w:r>
      <w:r w:rsidR="00217498" w:rsidRPr="00900AFD">
        <w:rPr>
          <w:rFonts w:cs="Arial"/>
        </w:rPr>
        <w:t xml:space="preserve">Governance Committee Members were engaged </w:t>
      </w:r>
      <w:r w:rsidR="00900AFD" w:rsidRPr="00900AFD">
        <w:rPr>
          <w:rFonts w:cs="Arial"/>
        </w:rPr>
        <w:t xml:space="preserve">and consulted </w:t>
      </w:r>
      <w:r w:rsidR="00217498" w:rsidRPr="00900AFD">
        <w:rPr>
          <w:rFonts w:cs="Arial"/>
        </w:rPr>
        <w:t xml:space="preserve">in the review of the terms of reference and </w:t>
      </w:r>
      <w:r w:rsidR="00C30E42">
        <w:rPr>
          <w:rFonts w:cs="Arial"/>
        </w:rPr>
        <w:t>agreed the updated terms of reference at Appendix B on 20 September 2018 for submission to Council for final approval</w:t>
      </w:r>
      <w:r w:rsidR="00217498" w:rsidRPr="00900AFD">
        <w:rPr>
          <w:rFonts w:cs="Arial"/>
        </w:rPr>
        <w:t>.</w:t>
      </w:r>
    </w:p>
    <w:p w:rsidR="00900AFD" w:rsidRPr="00792A2B" w:rsidRDefault="00900AFD" w:rsidP="002F5C5E">
      <w:pPr>
        <w:rPr>
          <w:rFonts w:cs="Arial"/>
          <w:i/>
          <w:color w:val="2E74B5"/>
        </w:rPr>
      </w:pPr>
    </w:p>
    <w:p w:rsidR="00F43895" w:rsidRPr="00792A2B" w:rsidRDefault="00386F06" w:rsidP="00F43895">
      <w:pPr>
        <w:rPr>
          <w:b/>
          <w:szCs w:val="22"/>
        </w:rPr>
      </w:pPr>
      <w:r>
        <w:rPr>
          <w:b/>
          <w:szCs w:val="22"/>
        </w:rPr>
        <w:t>7</w:t>
      </w:r>
      <w:r w:rsidR="00F43895" w:rsidRPr="00792A2B">
        <w:rPr>
          <w:b/>
          <w:szCs w:val="22"/>
        </w:rPr>
        <w:t xml:space="preserve">.    </w:t>
      </w:r>
      <w:r w:rsidR="00F43895" w:rsidRPr="00792A2B">
        <w:rPr>
          <w:rFonts w:cs="Arial"/>
          <w:b/>
          <w:caps/>
        </w:rPr>
        <w:t>Financial implications</w:t>
      </w:r>
    </w:p>
    <w:p w:rsidR="00F43895" w:rsidRPr="00792A2B" w:rsidRDefault="00F43895" w:rsidP="00F43895">
      <w:pPr>
        <w:ind w:left="567"/>
        <w:rPr>
          <w:rFonts w:cs="Arial"/>
          <w:b/>
          <w:caps/>
        </w:rPr>
      </w:pPr>
    </w:p>
    <w:p w:rsidR="00F43895" w:rsidRDefault="00386F06" w:rsidP="00F43895">
      <w:pPr>
        <w:rPr>
          <w:rFonts w:cs="Arial"/>
          <w:b/>
          <w:color w:val="2E74B5"/>
        </w:rPr>
      </w:pPr>
      <w:proofErr w:type="gramStart"/>
      <w:r w:rsidRPr="00F25409">
        <w:rPr>
          <w:rFonts w:cs="Arial"/>
        </w:rPr>
        <w:t>7.1</w:t>
      </w:r>
      <w:r>
        <w:rPr>
          <w:rFonts w:cs="Arial"/>
          <w:i/>
        </w:rPr>
        <w:t xml:space="preserve"> </w:t>
      </w:r>
      <w:r w:rsidR="00F43895" w:rsidRPr="00900AFD">
        <w:rPr>
          <w:rFonts w:cs="Arial"/>
          <w:i/>
        </w:rPr>
        <w:t xml:space="preserve"> </w:t>
      </w:r>
      <w:r w:rsidR="00C30E42">
        <w:rPr>
          <w:rFonts w:cs="Arial"/>
        </w:rPr>
        <w:t>None</w:t>
      </w:r>
      <w:proofErr w:type="gramEnd"/>
      <w:r w:rsidR="00C30E42">
        <w:rPr>
          <w:rFonts w:cs="Arial"/>
        </w:rPr>
        <w:t xml:space="preserve"> as a result of this report. </w:t>
      </w:r>
    </w:p>
    <w:p w:rsidR="00900AFD" w:rsidRPr="00792A2B" w:rsidRDefault="00900AFD" w:rsidP="00F43895">
      <w:pPr>
        <w:rPr>
          <w:rFonts w:cs="Arial"/>
          <w:b/>
          <w:color w:val="2E74B5"/>
        </w:rPr>
      </w:pPr>
    </w:p>
    <w:p w:rsidR="00F43895" w:rsidRPr="00792A2B" w:rsidRDefault="00386F06" w:rsidP="00F43895">
      <w:pPr>
        <w:rPr>
          <w:rFonts w:cs="Arial"/>
          <w:b/>
          <w:caps/>
        </w:rPr>
      </w:pPr>
      <w:r>
        <w:rPr>
          <w:rFonts w:cs="Arial"/>
          <w:b/>
          <w:caps/>
        </w:rPr>
        <w:t>8</w:t>
      </w:r>
      <w:r w:rsidR="00F43895" w:rsidRPr="00792A2B">
        <w:rPr>
          <w:rFonts w:cs="Arial"/>
          <w:b/>
          <w:caps/>
        </w:rPr>
        <w:t>.    LEGAL IMPLICATIONS</w:t>
      </w:r>
    </w:p>
    <w:p w:rsidR="00F43895" w:rsidRPr="00792A2B" w:rsidRDefault="00F43895" w:rsidP="00F43895">
      <w:pPr>
        <w:rPr>
          <w:rFonts w:cs="Arial"/>
          <w:b/>
          <w:caps/>
        </w:rPr>
      </w:pPr>
    </w:p>
    <w:p w:rsidR="00F43895" w:rsidRPr="005E03B2" w:rsidRDefault="00386F06" w:rsidP="005E03B2">
      <w:pPr>
        <w:rPr>
          <w:rFonts w:cs="Arial"/>
          <w:caps/>
        </w:rPr>
      </w:pPr>
      <w:proofErr w:type="gramStart"/>
      <w:r w:rsidRPr="005E03B2">
        <w:rPr>
          <w:rFonts w:cs="Arial"/>
          <w:caps/>
        </w:rPr>
        <w:t>8.1</w:t>
      </w:r>
      <w:r w:rsidR="00F43895" w:rsidRPr="005E03B2">
        <w:rPr>
          <w:rFonts w:cs="Arial"/>
          <w:b/>
          <w:caps/>
        </w:rPr>
        <w:t xml:space="preserve">  </w:t>
      </w:r>
      <w:r w:rsidRPr="005E03B2">
        <w:rPr>
          <w:rFonts w:cs="Arial"/>
        </w:rPr>
        <w:t>Please</w:t>
      </w:r>
      <w:proofErr w:type="gramEnd"/>
      <w:r w:rsidRPr="005E03B2">
        <w:rPr>
          <w:rFonts w:cs="Arial"/>
        </w:rPr>
        <w:t xml:space="preserve"> see Monitoring Officer comments</w:t>
      </w:r>
    </w:p>
    <w:p w:rsidR="00F43895" w:rsidRPr="00792A2B" w:rsidRDefault="00F43895" w:rsidP="00F43895">
      <w:pPr>
        <w:rPr>
          <w:rFonts w:cs="Arial"/>
          <w:b/>
          <w:caps/>
        </w:rPr>
      </w:pPr>
    </w:p>
    <w:p w:rsidR="00F43895" w:rsidRPr="00792A2B" w:rsidRDefault="00386F06" w:rsidP="00F43895">
      <w:pPr>
        <w:rPr>
          <w:rFonts w:cs="Arial"/>
          <w:b/>
        </w:rPr>
      </w:pPr>
      <w:r>
        <w:rPr>
          <w:rFonts w:cs="Arial"/>
          <w:b/>
        </w:rPr>
        <w:t>9</w:t>
      </w:r>
      <w:r w:rsidR="00F43895" w:rsidRPr="00792A2B">
        <w:rPr>
          <w:rFonts w:cs="Arial"/>
          <w:b/>
        </w:rPr>
        <w:t>.  COMMENTS OF THE STATUTORY FINANCE OFFICER</w:t>
      </w:r>
    </w:p>
    <w:p w:rsidR="00BE2A3F" w:rsidRPr="00792A2B" w:rsidRDefault="00BE2A3F" w:rsidP="00F43895">
      <w:pPr>
        <w:rPr>
          <w:rFonts w:cs="Arial"/>
          <w:b/>
        </w:rPr>
      </w:pPr>
    </w:p>
    <w:p w:rsidR="00BE2A3F" w:rsidRPr="005E03B2" w:rsidRDefault="005E03B2" w:rsidP="007206F8">
      <w:pPr>
        <w:ind w:left="567" w:hanging="567"/>
        <w:rPr>
          <w:rFonts w:cs="Arial"/>
        </w:rPr>
      </w:pPr>
      <w:r>
        <w:rPr>
          <w:rFonts w:cs="Arial"/>
        </w:rPr>
        <w:t>9</w:t>
      </w:r>
      <w:r w:rsidR="00BE2A3F" w:rsidRPr="00792A2B">
        <w:rPr>
          <w:rFonts w:cs="Arial"/>
        </w:rPr>
        <w:t xml:space="preserve">.1   </w:t>
      </w:r>
      <w:r w:rsidR="004F611F">
        <w:rPr>
          <w:i/>
          <w:color w:val="2E74B5"/>
        </w:rPr>
        <w:t xml:space="preserve"> </w:t>
      </w:r>
      <w:r w:rsidR="00C30E42">
        <w:t>There are no financial implications arising directly from this report.</w:t>
      </w:r>
    </w:p>
    <w:p w:rsidR="00F43895" w:rsidRPr="00792A2B" w:rsidRDefault="00F43895" w:rsidP="00F43895">
      <w:pPr>
        <w:rPr>
          <w:rFonts w:cs="Arial"/>
          <w:b/>
          <w:i/>
        </w:rPr>
      </w:pPr>
    </w:p>
    <w:p w:rsidR="00F43895" w:rsidRPr="00792A2B" w:rsidRDefault="00BE2A3F" w:rsidP="00BE2A3F">
      <w:pPr>
        <w:rPr>
          <w:rFonts w:cs="Arial"/>
          <w:b/>
        </w:rPr>
      </w:pPr>
      <w:r w:rsidRPr="00792A2B">
        <w:rPr>
          <w:rFonts w:cs="Arial"/>
          <w:b/>
        </w:rPr>
        <w:t>1</w:t>
      </w:r>
      <w:r w:rsidR="00386F06">
        <w:rPr>
          <w:rFonts w:cs="Arial"/>
          <w:b/>
        </w:rPr>
        <w:t>0</w:t>
      </w:r>
      <w:r w:rsidRPr="00792A2B">
        <w:rPr>
          <w:rFonts w:cs="Arial"/>
          <w:b/>
        </w:rPr>
        <w:t xml:space="preserve">.  </w:t>
      </w:r>
      <w:r w:rsidR="00F43895" w:rsidRPr="00792A2B">
        <w:rPr>
          <w:rFonts w:cs="Arial"/>
          <w:b/>
        </w:rPr>
        <w:t>COMMENTS OF THE MONITORING OFFICER</w:t>
      </w:r>
    </w:p>
    <w:p w:rsidR="00F43895" w:rsidRPr="00792A2B" w:rsidRDefault="00F43895" w:rsidP="00F43895">
      <w:pPr>
        <w:ind w:left="567"/>
        <w:rPr>
          <w:rFonts w:cs="Arial"/>
          <w:b/>
        </w:rPr>
      </w:pPr>
    </w:p>
    <w:p w:rsidR="00F43895" w:rsidRPr="005E03B2" w:rsidRDefault="004E1C0E" w:rsidP="00C30E42">
      <w:pPr>
        <w:rPr>
          <w:rFonts w:cs="Arial"/>
          <w:b/>
        </w:rPr>
      </w:pPr>
      <w:r w:rsidRPr="005E03B2">
        <w:rPr>
          <w:rFonts w:cs="Arial"/>
        </w:rPr>
        <w:t>10.1</w:t>
      </w:r>
      <w:r w:rsidR="007206F8">
        <w:rPr>
          <w:rFonts w:cs="Arial"/>
        </w:rPr>
        <w:t xml:space="preserve"> </w:t>
      </w:r>
      <w:r w:rsidR="00C30E42">
        <w:rPr>
          <w:rFonts w:cs="Arial"/>
        </w:rPr>
        <w:t>Every council is required to have a written constitution which</w:t>
      </w:r>
      <w:r w:rsidR="00E14089">
        <w:rPr>
          <w:rFonts w:cs="Arial"/>
        </w:rPr>
        <w:t xml:space="preserve"> should be</w:t>
      </w:r>
      <w:r w:rsidR="00C30E42">
        <w:rPr>
          <w:rFonts w:cs="Arial"/>
        </w:rPr>
        <w:t xml:space="preserve"> regularly reviewed and kept up to date.</w:t>
      </w:r>
    </w:p>
    <w:p w:rsidR="002F5C5E" w:rsidRPr="00792A2B" w:rsidRDefault="002F5C5E" w:rsidP="002F5C5E">
      <w:pPr>
        <w:rPr>
          <w:b/>
          <w:strike/>
          <w:szCs w:val="22"/>
        </w:rPr>
      </w:pPr>
    </w:p>
    <w:p w:rsidR="000B5251" w:rsidRPr="00792A2B" w:rsidRDefault="000B5251" w:rsidP="000B5251">
      <w:pPr>
        <w:rPr>
          <w:b/>
          <w:szCs w:val="22"/>
        </w:rPr>
      </w:pPr>
      <w:r w:rsidRPr="00792A2B">
        <w:rPr>
          <w:b/>
          <w:szCs w:val="22"/>
        </w:rPr>
        <w:t>1</w:t>
      </w:r>
      <w:r w:rsidR="004E1C0E">
        <w:rPr>
          <w:b/>
          <w:szCs w:val="22"/>
        </w:rPr>
        <w:t>1</w:t>
      </w:r>
      <w:r w:rsidRPr="00792A2B">
        <w:rPr>
          <w:b/>
          <w:szCs w:val="22"/>
        </w:rPr>
        <w:t xml:space="preserve">. OTHER IMPLICATIONS: </w:t>
      </w:r>
    </w:p>
    <w:p w:rsidR="003C36EB" w:rsidRPr="00792A2B" w:rsidRDefault="003C36EB" w:rsidP="000B5251">
      <w:pPr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BD66D8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669B1" w:rsidRDefault="002669B1" w:rsidP="002669B1">
            <w:pPr>
              <w:ind w:left="360"/>
              <w:rPr>
                <w:szCs w:val="22"/>
              </w:rPr>
            </w:pPr>
          </w:p>
          <w:p w:rsidR="00A56681" w:rsidRPr="00BD66D8" w:rsidRDefault="00A56681" w:rsidP="00A56681">
            <w:pPr>
              <w:numPr>
                <w:ilvl w:val="0"/>
                <w:numId w:val="11"/>
              </w:numPr>
              <w:ind w:left="360"/>
              <w:rPr>
                <w:szCs w:val="22"/>
              </w:rPr>
            </w:pPr>
            <w:r w:rsidRPr="00BD66D8">
              <w:rPr>
                <w:szCs w:val="22"/>
              </w:rPr>
              <w:t xml:space="preserve">HR &amp; Organisational Development </w:t>
            </w:r>
          </w:p>
          <w:p w:rsidR="00A56681" w:rsidRPr="00BD66D8" w:rsidRDefault="00A56681" w:rsidP="00A56681">
            <w:pPr>
              <w:ind w:left="360"/>
              <w:rPr>
                <w:szCs w:val="22"/>
              </w:rPr>
            </w:pPr>
          </w:p>
          <w:p w:rsidR="00A56681" w:rsidRPr="00BD66D8" w:rsidRDefault="00A56681" w:rsidP="00A56681">
            <w:pPr>
              <w:numPr>
                <w:ilvl w:val="0"/>
                <w:numId w:val="11"/>
              </w:numPr>
              <w:ind w:left="360"/>
              <w:rPr>
                <w:szCs w:val="22"/>
              </w:rPr>
            </w:pPr>
            <w:r w:rsidRPr="00BD66D8">
              <w:rPr>
                <w:szCs w:val="22"/>
              </w:rPr>
              <w:t>ICT / Technology</w:t>
            </w:r>
          </w:p>
          <w:p w:rsidR="002F5C5E" w:rsidRPr="00BD66D8" w:rsidRDefault="002F5C5E" w:rsidP="00A56681">
            <w:pPr>
              <w:ind w:left="360"/>
              <w:rPr>
                <w:szCs w:val="22"/>
              </w:rPr>
            </w:pPr>
          </w:p>
          <w:p w:rsidR="002F5C5E" w:rsidRPr="00BD66D8" w:rsidRDefault="002F5C5E" w:rsidP="0047741D">
            <w:pPr>
              <w:rPr>
                <w:szCs w:val="22"/>
              </w:rPr>
            </w:pPr>
          </w:p>
          <w:p w:rsidR="00A56681" w:rsidRPr="00BD66D8" w:rsidRDefault="00A56681" w:rsidP="00A56681">
            <w:pPr>
              <w:numPr>
                <w:ilvl w:val="0"/>
                <w:numId w:val="11"/>
              </w:numPr>
              <w:ind w:left="360"/>
              <w:rPr>
                <w:szCs w:val="22"/>
              </w:rPr>
            </w:pPr>
            <w:r w:rsidRPr="00BD66D8">
              <w:rPr>
                <w:szCs w:val="22"/>
              </w:rPr>
              <w:t>Property &amp; Asset Management</w:t>
            </w:r>
          </w:p>
          <w:p w:rsidR="00A56681" w:rsidRPr="00BD66D8" w:rsidRDefault="00A56681" w:rsidP="00A56681">
            <w:pPr>
              <w:ind w:left="360"/>
              <w:rPr>
                <w:szCs w:val="22"/>
              </w:rPr>
            </w:pPr>
          </w:p>
          <w:p w:rsidR="002F5C5E" w:rsidRPr="00BD66D8" w:rsidRDefault="00A56681" w:rsidP="0047741D">
            <w:pPr>
              <w:numPr>
                <w:ilvl w:val="0"/>
                <w:numId w:val="11"/>
              </w:numPr>
              <w:ind w:left="360"/>
              <w:rPr>
                <w:szCs w:val="22"/>
              </w:rPr>
            </w:pPr>
            <w:r w:rsidRPr="00BD66D8">
              <w:rPr>
                <w:szCs w:val="22"/>
              </w:rPr>
              <w:t xml:space="preserve">Risk </w:t>
            </w:r>
          </w:p>
          <w:p w:rsidR="003C36EB" w:rsidRPr="00BD66D8" w:rsidRDefault="003C36EB" w:rsidP="0047741D">
            <w:pPr>
              <w:rPr>
                <w:szCs w:val="22"/>
              </w:rPr>
            </w:pPr>
          </w:p>
          <w:p w:rsidR="002F5C5E" w:rsidRPr="004631FC" w:rsidRDefault="00A56681" w:rsidP="00AC4A99">
            <w:pPr>
              <w:numPr>
                <w:ilvl w:val="0"/>
                <w:numId w:val="11"/>
              </w:numPr>
              <w:ind w:left="360"/>
              <w:rPr>
                <w:szCs w:val="22"/>
              </w:rPr>
            </w:pPr>
            <w:r w:rsidRPr="00BD66D8">
              <w:rPr>
                <w:szCs w:val="22"/>
              </w:rPr>
              <w:t xml:space="preserve">Equality &amp; Diversity </w:t>
            </w:r>
          </w:p>
        </w:tc>
        <w:tc>
          <w:tcPr>
            <w:tcW w:w="6379" w:type="dxa"/>
            <w:shd w:val="clear" w:color="auto" w:fill="auto"/>
          </w:tcPr>
          <w:p w:rsidR="002669B1" w:rsidRDefault="002669B1" w:rsidP="00AC4A99">
            <w:pPr>
              <w:rPr>
                <w:szCs w:val="22"/>
              </w:rPr>
            </w:pPr>
          </w:p>
          <w:p w:rsidR="00F43895" w:rsidRPr="00BD66D8" w:rsidRDefault="00BD66D8" w:rsidP="00AC4A99">
            <w:pPr>
              <w:rPr>
                <w:szCs w:val="22"/>
              </w:rPr>
            </w:pPr>
            <w:r w:rsidRPr="00BD66D8">
              <w:rPr>
                <w:szCs w:val="22"/>
              </w:rPr>
              <w:t>There are no specific implications.</w:t>
            </w:r>
          </w:p>
          <w:p w:rsidR="00F43895" w:rsidRPr="00BD66D8" w:rsidRDefault="00F43895" w:rsidP="00AC4A99">
            <w:pPr>
              <w:rPr>
                <w:i/>
                <w:color w:val="2E74B5" w:themeColor="accent1" w:themeShade="BF"/>
                <w:szCs w:val="22"/>
              </w:rPr>
            </w:pPr>
          </w:p>
          <w:p w:rsidR="00A56681" w:rsidRPr="00BD66D8" w:rsidRDefault="00A56681" w:rsidP="00AC4A99">
            <w:pPr>
              <w:rPr>
                <w:i/>
                <w:color w:val="2E74B5"/>
                <w:szCs w:val="22"/>
              </w:rPr>
            </w:pPr>
          </w:p>
          <w:p w:rsidR="00BD66D8" w:rsidRPr="00BD66D8" w:rsidRDefault="00BD66D8" w:rsidP="00BD66D8">
            <w:pPr>
              <w:rPr>
                <w:szCs w:val="22"/>
              </w:rPr>
            </w:pPr>
            <w:r w:rsidRPr="00BD66D8">
              <w:rPr>
                <w:szCs w:val="22"/>
              </w:rPr>
              <w:t>There are no specific implications.</w:t>
            </w:r>
          </w:p>
          <w:p w:rsidR="00F43895" w:rsidRPr="00BD66D8" w:rsidRDefault="00F43895" w:rsidP="00AC4A99">
            <w:pPr>
              <w:rPr>
                <w:i/>
                <w:color w:val="2E74B5"/>
                <w:szCs w:val="22"/>
              </w:rPr>
            </w:pPr>
          </w:p>
          <w:p w:rsidR="00A56681" w:rsidRPr="00BD66D8" w:rsidRDefault="00A56681" w:rsidP="00AC4A99">
            <w:pPr>
              <w:rPr>
                <w:i/>
                <w:color w:val="2E74B5"/>
                <w:szCs w:val="22"/>
              </w:rPr>
            </w:pPr>
          </w:p>
          <w:p w:rsidR="00BD66D8" w:rsidRPr="00BD66D8" w:rsidRDefault="00BD66D8" w:rsidP="00BD66D8">
            <w:pPr>
              <w:rPr>
                <w:szCs w:val="22"/>
              </w:rPr>
            </w:pPr>
            <w:r w:rsidRPr="00BD66D8">
              <w:rPr>
                <w:szCs w:val="22"/>
              </w:rPr>
              <w:t>There are no specific implications.</w:t>
            </w:r>
          </w:p>
          <w:p w:rsidR="00A56681" w:rsidRDefault="00A56681" w:rsidP="00AC4A99">
            <w:pPr>
              <w:rPr>
                <w:i/>
                <w:color w:val="2E74B5"/>
                <w:szCs w:val="22"/>
              </w:rPr>
            </w:pPr>
          </w:p>
          <w:p w:rsidR="00BD66D8" w:rsidRPr="00BD66D8" w:rsidRDefault="00BD66D8" w:rsidP="00AC4A99">
            <w:pPr>
              <w:rPr>
                <w:i/>
                <w:color w:val="2E74B5"/>
                <w:szCs w:val="22"/>
              </w:rPr>
            </w:pPr>
          </w:p>
          <w:p w:rsidR="00BD66D8" w:rsidRPr="00BD66D8" w:rsidRDefault="00BD66D8" w:rsidP="00BD66D8">
            <w:pPr>
              <w:rPr>
                <w:szCs w:val="22"/>
              </w:rPr>
            </w:pPr>
            <w:r w:rsidRPr="00BD66D8">
              <w:rPr>
                <w:szCs w:val="22"/>
              </w:rPr>
              <w:t>There are no specific implications.</w:t>
            </w:r>
          </w:p>
          <w:p w:rsidR="00F43895" w:rsidRPr="00BD66D8" w:rsidRDefault="00F43895" w:rsidP="00AC4A99">
            <w:pPr>
              <w:rPr>
                <w:i/>
                <w:color w:val="2E74B5"/>
                <w:szCs w:val="22"/>
              </w:rPr>
            </w:pPr>
          </w:p>
          <w:p w:rsidR="00F43895" w:rsidRDefault="00BD66D8" w:rsidP="00AC4A99">
            <w:pPr>
              <w:rPr>
                <w:szCs w:val="22"/>
              </w:rPr>
            </w:pPr>
            <w:r w:rsidRPr="00BD66D8">
              <w:rPr>
                <w:szCs w:val="22"/>
              </w:rPr>
              <w:t>There are no specific implications.</w:t>
            </w:r>
          </w:p>
          <w:p w:rsidR="002669B1" w:rsidRPr="004631FC" w:rsidRDefault="002669B1" w:rsidP="00AC4A99">
            <w:pPr>
              <w:rPr>
                <w:szCs w:val="22"/>
              </w:rPr>
            </w:pPr>
          </w:p>
        </w:tc>
      </w:tr>
    </w:tbl>
    <w:p w:rsidR="00BD66D8" w:rsidRDefault="00BD66D8" w:rsidP="002F5C5E">
      <w:pPr>
        <w:rPr>
          <w:b/>
          <w:szCs w:val="22"/>
        </w:rPr>
      </w:pPr>
    </w:p>
    <w:p w:rsidR="000B5251" w:rsidRDefault="000B5251" w:rsidP="002F5C5E">
      <w:pPr>
        <w:rPr>
          <w:b/>
          <w:szCs w:val="22"/>
        </w:rPr>
      </w:pPr>
      <w:r>
        <w:rPr>
          <w:b/>
          <w:szCs w:val="22"/>
        </w:rPr>
        <w:t>1</w:t>
      </w:r>
      <w:r w:rsidR="004E1C0E">
        <w:rPr>
          <w:b/>
          <w:szCs w:val="22"/>
        </w:rPr>
        <w:t>2</w:t>
      </w:r>
      <w:r>
        <w:rPr>
          <w:b/>
          <w:szCs w:val="22"/>
        </w:rPr>
        <w:t xml:space="preserve">. BACKGROUND DOCUMENTS </w:t>
      </w:r>
    </w:p>
    <w:p w:rsidR="00BD66D8" w:rsidRPr="009C1143" w:rsidRDefault="00BD66D8" w:rsidP="002F5C5E">
      <w:pPr>
        <w:rPr>
          <w:szCs w:val="22"/>
        </w:rPr>
      </w:pPr>
    </w:p>
    <w:p w:rsidR="002F5C5E" w:rsidRDefault="00C30E42" w:rsidP="000B5251">
      <w:pPr>
        <w:rPr>
          <w:szCs w:val="22"/>
        </w:rPr>
      </w:pPr>
      <w:r>
        <w:rPr>
          <w:szCs w:val="22"/>
        </w:rPr>
        <w:t>Report to the Governance Committee:  Governance Committee Report on Terms of Reference and Development Plan and minutes – 20 September 2018</w:t>
      </w:r>
    </w:p>
    <w:p w:rsidR="00C30E42" w:rsidRPr="00BD66D8" w:rsidRDefault="00C30E42" w:rsidP="000B5251">
      <w:pPr>
        <w:rPr>
          <w:szCs w:val="22"/>
        </w:rPr>
      </w:pPr>
    </w:p>
    <w:p w:rsidR="000B5251" w:rsidRDefault="000B5251" w:rsidP="000B5251">
      <w:pPr>
        <w:rPr>
          <w:i/>
          <w:color w:val="0070C0"/>
          <w:szCs w:val="22"/>
        </w:rPr>
      </w:pPr>
    </w:p>
    <w:p w:rsidR="000B5251" w:rsidRPr="007206F8" w:rsidRDefault="00BD66D8" w:rsidP="000B5251">
      <w:pPr>
        <w:rPr>
          <w:rFonts w:cs="Arial"/>
          <w:b/>
        </w:rPr>
      </w:pPr>
      <w:r w:rsidRPr="007206F8">
        <w:rPr>
          <w:rFonts w:cs="Arial"/>
          <w:b/>
        </w:rPr>
        <w:t>1</w:t>
      </w:r>
      <w:r w:rsidR="004E1C0E" w:rsidRPr="007206F8">
        <w:rPr>
          <w:rFonts w:cs="Arial"/>
          <w:b/>
        </w:rPr>
        <w:t>3</w:t>
      </w:r>
      <w:r w:rsidRPr="007206F8">
        <w:rPr>
          <w:rFonts w:cs="Arial"/>
          <w:b/>
        </w:rPr>
        <w:t>. APPENDICES</w:t>
      </w:r>
    </w:p>
    <w:p w:rsidR="00BD66D8" w:rsidRPr="007206F8" w:rsidRDefault="00BD66D8" w:rsidP="000B5251">
      <w:pPr>
        <w:rPr>
          <w:rFonts w:cs="Arial"/>
          <w:b/>
        </w:rPr>
      </w:pPr>
    </w:p>
    <w:p w:rsidR="00BD66D8" w:rsidRPr="007206F8" w:rsidRDefault="00BD66D8" w:rsidP="002F43B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206F8">
        <w:rPr>
          <w:rFonts w:ascii="Arial" w:hAnsi="Arial" w:cs="Arial"/>
        </w:rPr>
        <w:t>Appendix A – Part 2D Governance Committee Terms of Reference</w:t>
      </w:r>
    </w:p>
    <w:p w:rsidR="00BD66D8" w:rsidRPr="007206F8" w:rsidRDefault="00BD66D8" w:rsidP="002F43B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206F8">
        <w:rPr>
          <w:rFonts w:ascii="Arial" w:hAnsi="Arial" w:cs="Arial"/>
        </w:rPr>
        <w:t>Appendix B – Updated Part 2D Governance Committee terms of reference</w:t>
      </w:r>
    </w:p>
    <w:p w:rsidR="007206F8" w:rsidRDefault="007206F8" w:rsidP="001C5E49">
      <w:pPr>
        <w:tabs>
          <w:tab w:val="left" w:pos="2839"/>
        </w:tabs>
        <w:ind w:left="426" w:hanging="426"/>
        <w:rPr>
          <w:rFonts w:cs="Arial"/>
        </w:rPr>
      </w:pPr>
    </w:p>
    <w:p w:rsidR="007206F8" w:rsidRDefault="007206F8" w:rsidP="001C5E49">
      <w:pPr>
        <w:tabs>
          <w:tab w:val="left" w:pos="2839"/>
        </w:tabs>
        <w:ind w:left="426" w:hanging="426"/>
        <w:rPr>
          <w:rFonts w:cs="Arial"/>
        </w:rPr>
      </w:pPr>
    </w:p>
    <w:p w:rsidR="007206F8" w:rsidRDefault="007206F8" w:rsidP="001C5E49">
      <w:pPr>
        <w:tabs>
          <w:tab w:val="left" w:pos="2839"/>
        </w:tabs>
        <w:ind w:left="426" w:hanging="426"/>
        <w:rPr>
          <w:rFonts w:cs="Arial"/>
        </w:rPr>
      </w:pPr>
    </w:p>
    <w:p w:rsidR="001C5E49" w:rsidRPr="007206F8" w:rsidRDefault="00BD66D8" w:rsidP="001C5E49">
      <w:pPr>
        <w:tabs>
          <w:tab w:val="left" w:pos="2839"/>
        </w:tabs>
        <w:ind w:left="426" w:hanging="426"/>
        <w:rPr>
          <w:rFonts w:cs="Arial"/>
        </w:rPr>
      </w:pPr>
      <w:r w:rsidRPr="007206F8">
        <w:rPr>
          <w:rFonts w:cs="Arial"/>
        </w:rPr>
        <w:t>Darren Cranshaw</w:t>
      </w:r>
    </w:p>
    <w:p w:rsidR="001C5E49" w:rsidRPr="007206F8" w:rsidRDefault="00BD66D8" w:rsidP="001C5E49">
      <w:pPr>
        <w:tabs>
          <w:tab w:val="left" w:pos="2839"/>
        </w:tabs>
        <w:rPr>
          <w:rFonts w:cs="Arial"/>
        </w:rPr>
      </w:pPr>
      <w:r w:rsidRPr="007206F8">
        <w:rPr>
          <w:rFonts w:cs="Arial"/>
        </w:rPr>
        <w:t>Assistant Director of Scrutiny &amp; Democratic Services</w:t>
      </w:r>
    </w:p>
    <w:p w:rsidR="00412563" w:rsidRPr="007206F8" w:rsidRDefault="00412563" w:rsidP="001C5E49">
      <w:pPr>
        <w:tabs>
          <w:tab w:val="left" w:pos="2839"/>
        </w:tabs>
        <w:ind w:left="426" w:hanging="426"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455"/>
        <w:gridCol w:w="2358"/>
      </w:tblGrid>
      <w:tr w:rsidR="001C5E49" w:rsidTr="004631FC">
        <w:tc>
          <w:tcPr>
            <w:tcW w:w="4707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2455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58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:rsidTr="004631FC">
        <w:tc>
          <w:tcPr>
            <w:tcW w:w="4707" w:type="dxa"/>
            <w:shd w:val="clear" w:color="auto" w:fill="auto"/>
          </w:tcPr>
          <w:p w:rsidR="00C903AC" w:rsidRPr="0031059E" w:rsidRDefault="00BD66D8" w:rsidP="004631F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Darren Cransha</w:t>
            </w:r>
            <w:r w:rsidR="004631FC">
              <w:rPr>
                <w:rFonts w:cs="Arial"/>
              </w:rPr>
              <w:t>w</w:t>
            </w:r>
          </w:p>
        </w:tc>
        <w:tc>
          <w:tcPr>
            <w:tcW w:w="2455" w:type="dxa"/>
            <w:shd w:val="clear" w:color="auto" w:fill="auto"/>
          </w:tcPr>
          <w:p w:rsidR="00C903AC" w:rsidRPr="0031059E" w:rsidRDefault="00BD66D8" w:rsidP="00C903AC">
            <w:pPr>
              <w:rPr>
                <w:rFonts w:cs="Arial"/>
              </w:rPr>
            </w:pPr>
            <w:r>
              <w:rPr>
                <w:rFonts w:cs="Arial"/>
              </w:rPr>
              <w:t>01772 625512</w:t>
            </w:r>
          </w:p>
        </w:tc>
        <w:tc>
          <w:tcPr>
            <w:tcW w:w="2358" w:type="dxa"/>
            <w:shd w:val="clear" w:color="auto" w:fill="auto"/>
          </w:tcPr>
          <w:p w:rsidR="00C903AC" w:rsidRPr="0031059E" w:rsidRDefault="00C30E42" w:rsidP="00C30E42">
            <w:pPr>
              <w:rPr>
                <w:rFonts w:cs="Arial"/>
              </w:rPr>
            </w:pPr>
            <w:r>
              <w:rPr>
                <w:rFonts w:cs="Arial"/>
              </w:rPr>
              <w:t>25 November 2018</w:t>
            </w:r>
          </w:p>
        </w:tc>
      </w:tr>
    </w:tbl>
    <w:p w:rsidR="001C5E49" w:rsidRPr="009725FB" w:rsidRDefault="001C5E49" w:rsidP="002D6D99">
      <w:pPr>
        <w:tabs>
          <w:tab w:val="left" w:pos="2839"/>
        </w:tabs>
        <w:rPr>
          <w:rFonts w:cs="Arial"/>
        </w:rPr>
      </w:pPr>
    </w:p>
    <w:sectPr w:rsidR="001C5E49" w:rsidRPr="009725FB" w:rsidSect="002D6D99">
      <w:footerReference w:type="default" r:id="rId9"/>
      <w:type w:val="continuous"/>
      <w:pgSz w:w="11906" w:h="16838" w:code="9"/>
      <w:pgMar w:top="993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AB" w:rsidRDefault="00F377AB">
      <w:r>
        <w:separator/>
      </w:r>
    </w:p>
  </w:endnote>
  <w:endnote w:type="continuationSeparator" w:id="0">
    <w:p w:rsidR="00F377AB" w:rsidRDefault="00F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AB71CD">
      <w:rPr>
        <w:noProof/>
        <w:sz w:val="24"/>
      </w:rPr>
      <w:t>1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AB" w:rsidRDefault="00F377AB">
      <w:r>
        <w:separator/>
      </w:r>
    </w:p>
  </w:footnote>
  <w:footnote w:type="continuationSeparator" w:id="0">
    <w:p w:rsidR="00F377AB" w:rsidRDefault="00F3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408F0"/>
    <w:multiLevelType w:val="hybridMultilevel"/>
    <w:tmpl w:val="4E882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04A90"/>
    <w:multiLevelType w:val="hybridMultilevel"/>
    <w:tmpl w:val="672EE4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50941"/>
    <w:multiLevelType w:val="hybridMultilevel"/>
    <w:tmpl w:val="68E0E464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7A53"/>
    <w:multiLevelType w:val="hybridMultilevel"/>
    <w:tmpl w:val="20581C88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B5251"/>
    <w:rsid w:val="000B5F2F"/>
    <w:rsid w:val="000E10FE"/>
    <w:rsid w:val="000F2C8A"/>
    <w:rsid w:val="001510ED"/>
    <w:rsid w:val="001544DD"/>
    <w:rsid w:val="00156AC8"/>
    <w:rsid w:val="00184E1D"/>
    <w:rsid w:val="001938D6"/>
    <w:rsid w:val="001C5E49"/>
    <w:rsid w:val="001D4125"/>
    <w:rsid w:val="00203952"/>
    <w:rsid w:val="00217498"/>
    <w:rsid w:val="002221BD"/>
    <w:rsid w:val="0025591B"/>
    <w:rsid w:val="002669B1"/>
    <w:rsid w:val="002820A5"/>
    <w:rsid w:val="002D6D99"/>
    <w:rsid w:val="002E4FF4"/>
    <w:rsid w:val="002F43B3"/>
    <w:rsid w:val="002F5C5E"/>
    <w:rsid w:val="00342AB1"/>
    <w:rsid w:val="00345C71"/>
    <w:rsid w:val="00386AAD"/>
    <w:rsid w:val="00386F06"/>
    <w:rsid w:val="003902A2"/>
    <w:rsid w:val="003A1B3F"/>
    <w:rsid w:val="003A23D3"/>
    <w:rsid w:val="003A2919"/>
    <w:rsid w:val="003B1E6D"/>
    <w:rsid w:val="003C36EB"/>
    <w:rsid w:val="003E1974"/>
    <w:rsid w:val="003E33E6"/>
    <w:rsid w:val="003F30BE"/>
    <w:rsid w:val="003F5603"/>
    <w:rsid w:val="00405D4A"/>
    <w:rsid w:val="00412563"/>
    <w:rsid w:val="004218EA"/>
    <w:rsid w:val="00442C46"/>
    <w:rsid w:val="004631FC"/>
    <w:rsid w:val="00474DA8"/>
    <w:rsid w:val="0047741D"/>
    <w:rsid w:val="004A45D4"/>
    <w:rsid w:val="004A5F8B"/>
    <w:rsid w:val="004D7260"/>
    <w:rsid w:val="004E1C0E"/>
    <w:rsid w:val="004F23B3"/>
    <w:rsid w:val="004F611F"/>
    <w:rsid w:val="005041BB"/>
    <w:rsid w:val="00525728"/>
    <w:rsid w:val="00533525"/>
    <w:rsid w:val="00547120"/>
    <w:rsid w:val="00547481"/>
    <w:rsid w:val="00576A82"/>
    <w:rsid w:val="00576EFA"/>
    <w:rsid w:val="005A26AD"/>
    <w:rsid w:val="005B0C36"/>
    <w:rsid w:val="005B5842"/>
    <w:rsid w:val="005D4F59"/>
    <w:rsid w:val="005E03B2"/>
    <w:rsid w:val="00601837"/>
    <w:rsid w:val="0060374B"/>
    <w:rsid w:val="00630F86"/>
    <w:rsid w:val="00633396"/>
    <w:rsid w:val="00645A0B"/>
    <w:rsid w:val="006555E6"/>
    <w:rsid w:val="006879CA"/>
    <w:rsid w:val="006A4FC5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206F8"/>
    <w:rsid w:val="00772B9C"/>
    <w:rsid w:val="00792A2B"/>
    <w:rsid w:val="008107AD"/>
    <w:rsid w:val="00842856"/>
    <w:rsid w:val="008917EA"/>
    <w:rsid w:val="00893AD2"/>
    <w:rsid w:val="008A2F6B"/>
    <w:rsid w:val="008A42E3"/>
    <w:rsid w:val="008A77AB"/>
    <w:rsid w:val="008B41C5"/>
    <w:rsid w:val="008C3B1A"/>
    <w:rsid w:val="008D623F"/>
    <w:rsid w:val="008F4B91"/>
    <w:rsid w:val="00900AFD"/>
    <w:rsid w:val="0090542C"/>
    <w:rsid w:val="009350CB"/>
    <w:rsid w:val="009538AE"/>
    <w:rsid w:val="00980267"/>
    <w:rsid w:val="00983CD5"/>
    <w:rsid w:val="00992E79"/>
    <w:rsid w:val="009A714A"/>
    <w:rsid w:val="009C1143"/>
    <w:rsid w:val="009E48E0"/>
    <w:rsid w:val="00A1406A"/>
    <w:rsid w:val="00A22D02"/>
    <w:rsid w:val="00A30426"/>
    <w:rsid w:val="00A4702E"/>
    <w:rsid w:val="00A50754"/>
    <w:rsid w:val="00A56681"/>
    <w:rsid w:val="00A76482"/>
    <w:rsid w:val="00A834FA"/>
    <w:rsid w:val="00AB71CD"/>
    <w:rsid w:val="00AC4A99"/>
    <w:rsid w:val="00B05FE8"/>
    <w:rsid w:val="00B1788B"/>
    <w:rsid w:val="00B32C54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C6635"/>
    <w:rsid w:val="00BD66D8"/>
    <w:rsid w:val="00BE2A3F"/>
    <w:rsid w:val="00C022F9"/>
    <w:rsid w:val="00C209E3"/>
    <w:rsid w:val="00C30128"/>
    <w:rsid w:val="00C30E42"/>
    <w:rsid w:val="00C52450"/>
    <w:rsid w:val="00C64ED1"/>
    <w:rsid w:val="00C66BAA"/>
    <w:rsid w:val="00C903AC"/>
    <w:rsid w:val="00CB32DF"/>
    <w:rsid w:val="00CC3246"/>
    <w:rsid w:val="00CE3DA1"/>
    <w:rsid w:val="00CE4482"/>
    <w:rsid w:val="00CF6B60"/>
    <w:rsid w:val="00D03328"/>
    <w:rsid w:val="00D16152"/>
    <w:rsid w:val="00D36638"/>
    <w:rsid w:val="00D37BAE"/>
    <w:rsid w:val="00D772AB"/>
    <w:rsid w:val="00D90A00"/>
    <w:rsid w:val="00D91845"/>
    <w:rsid w:val="00D9371C"/>
    <w:rsid w:val="00DB3FD0"/>
    <w:rsid w:val="00DE5E12"/>
    <w:rsid w:val="00E14089"/>
    <w:rsid w:val="00E2196F"/>
    <w:rsid w:val="00E2276E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25409"/>
    <w:rsid w:val="00F3057A"/>
    <w:rsid w:val="00F30E9C"/>
    <w:rsid w:val="00F377AB"/>
    <w:rsid w:val="00F422AF"/>
    <w:rsid w:val="00F43895"/>
    <w:rsid w:val="00F55E4D"/>
    <w:rsid w:val="00F61752"/>
    <w:rsid w:val="00F67F95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1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1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1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26F4-89E0-4807-B725-D91F323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2</TotalTime>
  <Pages>3</Pages>
  <Words>566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2018-09-12T15:37:00Z</cp:lastPrinted>
  <dcterms:created xsi:type="dcterms:W3CDTF">2018-11-27T09:39:00Z</dcterms:created>
  <dcterms:modified xsi:type="dcterms:W3CDTF">2018-11-27T09:39:00Z</dcterms:modified>
</cp:coreProperties>
</file>